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58B1" w14:textId="77777777" w:rsidR="00B85C58" w:rsidRDefault="004643FB" w:rsidP="00B85C58">
      <w:pPr>
        <w:spacing w:after="0"/>
        <w:rPr>
          <w:rFonts w:asciiTheme="minorHAnsi" w:hAnsiTheme="minorHAnsi"/>
          <w:b/>
          <w:color w:val="548DD4"/>
          <w:sz w:val="32"/>
          <w:highlight w:val="yellow"/>
        </w:rPr>
      </w:pPr>
      <w:r w:rsidRPr="004643FB">
        <w:rPr>
          <w:rFonts w:asciiTheme="minorHAnsi" w:hAnsiTheme="minorHAnsi"/>
          <w:noProof/>
          <w:sz w:val="24"/>
          <w:lang w:eastAsia="fr-FR"/>
        </w:rPr>
        <w:drawing>
          <wp:anchor distT="0" distB="0" distL="114300" distR="114300" simplePos="0" relativeHeight="251659264" behindDoc="1" locked="0" layoutInCell="1" allowOverlap="0" wp14:anchorId="73BC1D14" wp14:editId="218511D8">
            <wp:simplePos x="0" y="0"/>
            <wp:positionH relativeFrom="margin">
              <wp:align>right</wp:align>
            </wp:positionH>
            <wp:positionV relativeFrom="margin">
              <wp:posOffset>4445</wp:posOffset>
            </wp:positionV>
            <wp:extent cx="723265" cy="92138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r="3607"/>
                    <a:stretch>
                      <a:fillRect/>
                    </a:stretch>
                  </pic:blipFill>
                  <pic:spPr bwMode="auto">
                    <a:xfrm>
                      <a:off x="0" y="0"/>
                      <a:ext cx="72326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C58" w:rsidRPr="00B85C58">
        <w:rPr>
          <w:rFonts w:asciiTheme="minorHAnsi" w:hAnsiTheme="minorHAnsi" w:cs="Arial"/>
          <w:b/>
          <w:noProof/>
          <w:color w:val="548DD4"/>
          <w:sz w:val="28"/>
          <w:szCs w:val="32"/>
          <w:lang w:eastAsia="fr-FR"/>
        </w:rPr>
        <w:drawing>
          <wp:inline distT="0" distB="0" distL="0" distR="0" wp14:anchorId="3A30534F" wp14:editId="6AF8BE6F">
            <wp:extent cx="1371600" cy="704589"/>
            <wp:effectExtent l="0" t="0" r="0" b="635"/>
            <wp:docPr id="19" name="Image 19" descr="C:\Users\boucher\Desktop\Logo%20CHU-BDX-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cher\Desktop\Logo%20CHU-BDX-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7935" cy="712980"/>
                    </a:xfrm>
                    <a:prstGeom prst="rect">
                      <a:avLst/>
                    </a:prstGeom>
                    <a:noFill/>
                    <a:ln>
                      <a:noFill/>
                    </a:ln>
                  </pic:spPr>
                </pic:pic>
              </a:graphicData>
            </a:graphic>
          </wp:inline>
        </w:drawing>
      </w:r>
    </w:p>
    <w:p w14:paraId="38B55A50" w14:textId="77777777" w:rsidR="00B85C58" w:rsidRDefault="00B85C58" w:rsidP="00CA2D62">
      <w:pPr>
        <w:spacing w:after="0"/>
        <w:jc w:val="center"/>
        <w:rPr>
          <w:rFonts w:asciiTheme="minorHAnsi" w:hAnsiTheme="minorHAnsi"/>
          <w:b/>
          <w:color w:val="548DD4"/>
          <w:sz w:val="32"/>
          <w:highlight w:val="yellow"/>
        </w:rPr>
      </w:pPr>
    </w:p>
    <w:p w14:paraId="20568B00" w14:textId="77777777" w:rsidR="00B85C58" w:rsidRDefault="00B85C58" w:rsidP="00CA2D62">
      <w:pPr>
        <w:spacing w:after="0"/>
        <w:jc w:val="center"/>
        <w:rPr>
          <w:rFonts w:asciiTheme="minorHAnsi" w:hAnsiTheme="minorHAnsi"/>
          <w:b/>
          <w:color w:val="548DD4"/>
          <w:sz w:val="32"/>
          <w:highlight w:val="yellow"/>
        </w:rPr>
      </w:pPr>
    </w:p>
    <w:p w14:paraId="331F53F8" w14:textId="77777777" w:rsidR="00132904" w:rsidRDefault="00132904" w:rsidP="00CA2D62">
      <w:pPr>
        <w:spacing w:after="0"/>
        <w:jc w:val="center"/>
        <w:rPr>
          <w:rFonts w:asciiTheme="minorHAnsi" w:hAnsiTheme="minorHAnsi"/>
          <w:b/>
          <w:color w:val="548DD4"/>
          <w:sz w:val="32"/>
          <w:highlight w:val="yellow"/>
        </w:rPr>
      </w:pPr>
    </w:p>
    <w:p w14:paraId="53E52A2F" w14:textId="1B2A7643" w:rsidR="0047635A" w:rsidRPr="00132904" w:rsidRDefault="00513856" w:rsidP="00CA2D62">
      <w:pPr>
        <w:spacing w:after="0"/>
        <w:jc w:val="center"/>
        <w:rPr>
          <w:rFonts w:asciiTheme="minorHAnsi" w:hAnsiTheme="minorHAnsi"/>
          <w:b/>
          <w:color w:val="548DD4"/>
          <w:sz w:val="36"/>
          <w:szCs w:val="36"/>
        </w:rPr>
      </w:pPr>
      <w:r>
        <w:rPr>
          <w:rFonts w:asciiTheme="minorHAnsi" w:hAnsiTheme="minorHAnsi"/>
          <w:b/>
          <w:color w:val="548DD4"/>
          <w:sz w:val="36"/>
          <w:szCs w:val="36"/>
        </w:rPr>
        <w:t>19</w:t>
      </w:r>
      <w:r w:rsidR="00E851CE" w:rsidRPr="00132904">
        <w:rPr>
          <w:rFonts w:asciiTheme="minorHAnsi" w:hAnsiTheme="minorHAnsi"/>
          <w:b/>
          <w:color w:val="548DD4"/>
          <w:sz w:val="36"/>
          <w:szCs w:val="36"/>
          <w:vertAlign w:val="superscript"/>
        </w:rPr>
        <w:t>e</w:t>
      </w:r>
      <w:r w:rsidR="00E851CE" w:rsidRPr="00132904">
        <w:rPr>
          <w:rFonts w:asciiTheme="minorHAnsi" w:hAnsiTheme="minorHAnsi"/>
          <w:b/>
          <w:color w:val="548DD4"/>
          <w:sz w:val="36"/>
          <w:szCs w:val="36"/>
        </w:rPr>
        <w:t xml:space="preserve"> </w:t>
      </w:r>
      <w:r w:rsidR="00CF2804" w:rsidRPr="00132904">
        <w:rPr>
          <w:rFonts w:asciiTheme="minorHAnsi" w:hAnsiTheme="minorHAnsi"/>
          <w:b/>
          <w:color w:val="548DD4"/>
          <w:sz w:val="36"/>
          <w:szCs w:val="36"/>
        </w:rPr>
        <w:t xml:space="preserve">semaine du </w:t>
      </w:r>
      <w:r w:rsidR="0047635A" w:rsidRPr="00132904">
        <w:rPr>
          <w:rFonts w:asciiTheme="minorHAnsi" w:hAnsiTheme="minorHAnsi"/>
          <w:b/>
          <w:color w:val="548DD4"/>
          <w:sz w:val="36"/>
          <w:szCs w:val="36"/>
        </w:rPr>
        <w:t>RMEF</w:t>
      </w:r>
      <w:r w:rsidR="00CA2D62" w:rsidRPr="00132904">
        <w:rPr>
          <w:rFonts w:asciiTheme="minorHAnsi" w:hAnsiTheme="minorHAnsi"/>
          <w:b/>
          <w:color w:val="548DD4"/>
          <w:sz w:val="36"/>
          <w:szCs w:val="36"/>
        </w:rPr>
        <w:t xml:space="preserve"> </w:t>
      </w:r>
      <w:r w:rsidR="0016263E" w:rsidRPr="00132904">
        <w:rPr>
          <w:rFonts w:asciiTheme="minorHAnsi" w:hAnsiTheme="minorHAnsi"/>
          <w:b/>
          <w:color w:val="548DD4"/>
          <w:sz w:val="36"/>
          <w:szCs w:val="36"/>
        </w:rPr>
        <w:t>–</w:t>
      </w:r>
      <w:r w:rsidR="00CA2D62" w:rsidRPr="00132904">
        <w:rPr>
          <w:rFonts w:asciiTheme="minorHAnsi" w:hAnsiTheme="minorHAnsi"/>
          <w:b/>
          <w:color w:val="548DD4"/>
          <w:sz w:val="36"/>
          <w:szCs w:val="36"/>
        </w:rPr>
        <w:t xml:space="preserve"> </w:t>
      </w:r>
      <w:r w:rsidR="00B85C58" w:rsidRPr="00132904">
        <w:rPr>
          <w:rFonts w:asciiTheme="minorHAnsi" w:hAnsiTheme="minorHAnsi"/>
          <w:b/>
          <w:color w:val="548DD4"/>
          <w:sz w:val="36"/>
          <w:szCs w:val="36"/>
        </w:rPr>
        <w:t>30 mai au 03 juin 2022</w:t>
      </w:r>
    </w:p>
    <w:p w14:paraId="199025CB" w14:textId="77777777" w:rsidR="00EE0B77" w:rsidRPr="00132904" w:rsidRDefault="00EE0B77" w:rsidP="0047635A">
      <w:pPr>
        <w:spacing w:after="0"/>
        <w:jc w:val="center"/>
        <w:rPr>
          <w:rFonts w:asciiTheme="minorHAnsi" w:hAnsiTheme="minorHAnsi"/>
          <w:b/>
          <w:color w:val="548DD4"/>
          <w:sz w:val="36"/>
          <w:szCs w:val="36"/>
        </w:rPr>
      </w:pPr>
      <w:r w:rsidRPr="00132904">
        <w:rPr>
          <w:rFonts w:asciiTheme="minorHAnsi" w:hAnsiTheme="minorHAnsi"/>
          <w:b/>
          <w:color w:val="548DD4"/>
          <w:sz w:val="36"/>
          <w:szCs w:val="36"/>
        </w:rPr>
        <w:t>Colloque du RMEF</w:t>
      </w:r>
      <w:r w:rsidR="00B85C58" w:rsidRPr="00132904">
        <w:rPr>
          <w:rFonts w:asciiTheme="minorHAnsi" w:hAnsiTheme="minorHAnsi"/>
          <w:b/>
          <w:color w:val="548DD4"/>
          <w:sz w:val="36"/>
          <w:szCs w:val="36"/>
        </w:rPr>
        <w:t xml:space="preserve"> à Bordeaux</w:t>
      </w:r>
    </w:p>
    <w:p w14:paraId="4A06929F" w14:textId="77777777" w:rsidR="0047635A" w:rsidRDefault="0047635A" w:rsidP="00CA2D62">
      <w:pPr>
        <w:spacing w:after="0"/>
        <w:rPr>
          <w:b/>
          <w:sz w:val="24"/>
          <w:u w:val="single"/>
        </w:rPr>
      </w:pPr>
    </w:p>
    <w:p w14:paraId="7933A83D" w14:textId="77777777" w:rsidR="00D90AD2" w:rsidRPr="00132904" w:rsidRDefault="00B85C58" w:rsidP="00086B4B">
      <w:pPr>
        <w:pBdr>
          <w:top w:val="single" w:sz="4" w:space="1" w:color="auto"/>
          <w:left w:val="single" w:sz="4" w:space="4" w:color="auto"/>
          <w:bottom w:val="single" w:sz="4" w:space="1" w:color="auto"/>
          <w:right w:val="single" w:sz="4" w:space="15" w:color="auto"/>
        </w:pBdr>
        <w:spacing w:after="0"/>
        <w:jc w:val="center"/>
        <w:rPr>
          <w:b/>
          <w:sz w:val="36"/>
          <w:szCs w:val="36"/>
        </w:rPr>
      </w:pPr>
      <w:r w:rsidRPr="00132904">
        <w:rPr>
          <w:b/>
          <w:sz w:val="36"/>
          <w:szCs w:val="36"/>
        </w:rPr>
        <w:t>APPEL A COMMUNICATIONS</w:t>
      </w:r>
    </w:p>
    <w:p w14:paraId="4DCA1B21" w14:textId="77777777" w:rsidR="004643FB" w:rsidRPr="00132904" w:rsidRDefault="004643FB" w:rsidP="004643FB">
      <w:pPr>
        <w:spacing w:after="0"/>
        <w:jc w:val="center"/>
        <w:rPr>
          <w:b/>
          <w:sz w:val="36"/>
          <w:szCs w:val="36"/>
        </w:rPr>
      </w:pPr>
    </w:p>
    <w:p w14:paraId="5D7F9B47" w14:textId="0E2A5BCB" w:rsidR="00654640" w:rsidRDefault="00B85C58" w:rsidP="004643FB">
      <w:pPr>
        <w:spacing w:after="0"/>
        <w:jc w:val="center"/>
        <w:rPr>
          <w:b/>
          <w:sz w:val="24"/>
          <w:u w:val="single"/>
        </w:rPr>
      </w:pPr>
      <w:r>
        <w:rPr>
          <w:b/>
          <w:sz w:val="32"/>
        </w:rPr>
        <w:t xml:space="preserve">Formulaire à compléter et à </w:t>
      </w:r>
      <w:r w:rsidR="004643FB">
        <w:rPr>
          <w:b/>
          <w:sz w:val="32"/>
        </w:rPr>
        <w:t>r</w:t>
      </w:r>
      <w:r>
        <w:rPr>
          <w:b/>
          <w:sz w:val="32"/>
        </w:rPr>
        <w:t xml:space="preserve">envoyer au plus tard le </w:t>
      </w:r>
      <w:r w:rsidR="0052635D">
        <w:rPr>
          <w:b/>
          <w:sz w:val="32"/>
        </w:rPr>
        <w:t>25</w:t>
      </w:r>
      <w:r>
        <w:rPr>
          <w:b/>
          <w:sz w:val="32"/>
        </w:rPr>
        <w:t xml:space="preserve">/03/2022 à </w:t>
      </w:r>
      <w:r w:rsidR="00D51F34">
        <w:rPr>
          <w:rStyle w:val="Hyperlink"/>
          <w:sz w:val="24"/>
          <w:szCs w:val="24"/>
        </w:rPr>
        <w:t>chu</w:t>
      </w:r>
      <w:r w:rsidRPr="004643FB">
        <w:rPr>
          <w:rStyle w:val="Hyperlink"/>
          <w:sz w:val="24"/>
          <w:szCs w:val="24"/>
        </w:rPr>
        <w:t>bx</w:t>
      </w:r>
      <w:r w:rsidR="00D51F34">
        <w:rPr>
          <w:rStyle w:val="Hyperlink"/>
          <w:sz w:val="24"/>
          <w:szCs w:val="24"/>
        </w:rPr>
        <w:t>.rmef</w:t>
      </w:r>
      <w:r w:rsidRPr="004643FB">
        <w:rPr>
          <w:rStyle w:val="Hyperlink"/>
          <w:sz w:val="24"/>
          <w:szCs w:val="24"/>
        </w:rPr>
        <w:t>2022@chu-bordeaux.fr</w:t>
      </w:r>
    </w:p>
    <w:p w14:paraId="0374C7EA" w14:textId="77777777" w:rsidR="0016263E" w:rsidRDefault="0016263E" w:rsidP="0016263E">
      <w:pPr>
        <w:spacing w:after="0"/>
        <w:rPr>
          <w:b/>
          <w:sz w:val="24"/>
        </w:rPr>
      </w:pPr>
    </w:p>
    <w:p w14:paraId="32261CAC" w14:textId="77777777" w:rsidR="004643FB" w:rsidRDefault="004643FB" w:rsidP="0016263E">
      <w:pPr>
        <w:spacing w:after="0"/>
        <w:rPr>
          <w:b/>
          <w:sz w:val="24"/>
        </w:rPr>
      </w:pPr>
    </w:p>
    <w:p w14:paraId="7B26C2F4" w14:textId="77777777" w:rsidR="00086B4B" w:rsidRPr="00B85C58" w:rsidRDefault="00B85C58" w:rsidP="0016263E">
      <w:pPr>
        <w:spacing w:after="0"/>
        <w:rPr>
          <w:b/>
          <w:i/>
          <w:sz w:val="24"/>
          <w:u w:val="single"/>
        </w:rPr>
      </w:pPr>
      <w:r w:rsidRPr="00B85C58">
        <w:rPr>
          <w:b/>
          <w:i/>
          <w:sz w:val="24"/>
          <w:u w:val="single"/>
        </w:rPr>
        <w:t>Les ateliers </w:t>
      </w:r>
      <w:r w:rsidR="004643FB">
        <w:rPr>
          <w:b/>
          <w:i/>
          <w:sz w:val="24"/>
          <w:u w:val="single"/>
        </w:rPr>
        <w:t xml:space="preserve">(cocher la case correspondante) </w:t>
      </w:r>
      <w:r w:rsidRPr="00B85C58">
        <w:rPr>
          <w:b/>
          <w:i/>
          <w:sz w:val="24"/>
          <w:u w:val="single"/>
        </w:rPr>
        <w:t xml:space="preserve">: </w:t>
      </w:r>
    </w:p>
    <w:p w14:paraId="19120DFE" w14:textId="77777777" w:rsidR="00B85C58" w:rsidRDefault="00B85C58" w:rsidP="00B85C58">
      <w:pPr>
        <w:jc w:val="both"/>
        <w:rPr>
          <w:rFonts w:cstheme="minorHAnsi"/>
          <w:b/>
        </w:rPr>
      </w:pPr>
    </w:p>
    <w:p w14:paraId="64AF8CC8" w14:textId="77777777" w:rsidR="00B85C58" w:rsidRPr="00B85C58" w:rsidRDefault="00B85C58" w:rsidP="00B85C58">
      <w:pPr>
        <w:jc w:val="both"/>
        <w:rPr>
          <w:rFonts w:cstheme="minorHAnsi"/>
        </w:rPr>
      </w:pPr>
      <w:r>
        <w:rPr>
          <w:rFonts w:cstheme="minorHAnsi"/>
          <w:b/>
        </w:rPr>
        <w:sym w:font="Wingdings" w:char="F0A8"/>
      </w:r>
      <w:r>
        <w:rPr>
          <w:rFonts w:cstheme="minorHAnsi"/>
          <w:b/>
        </w:rPr>
        <w:t xml:space="preserve"> Atelier 1 : </w:t>
      </w:r>
      <w:r w:rsidRPr="00240F2E">
        <w:rPr>
          <w:rFonts w:cstheme="minorHAnsi"/>
          <w:b/>
        </w:rPr>
        <w:t>Nouveaux métiers, nouvelles missions, nouvelles pratiques</w:t>
      </w:r>
      <w:r w:rsidRPr="00240F2E">
        <w:rPr>
          <w:rFonts w:cstheme="minorHAnsi"/>
        </w:rPr>
        <w:t xml:space="preserve">, infirmier en pratique avancée, les EAPA, les APPV, les patients experts, les </w:t>
      </w:r>
      <w:proofErr w:type="spellStart"/>
      <w:r w:rsidRPr="00240F2E">
        <w:rPr>
          <w:rFonts w:cstheme="minorHAnsi"/>
        </w:rPr>
        <w:t>sages-femmes</w:t>
      </w:r>
      <w:proofErr w:type="spellEnd"/>
      <w:r w:rsidRPr="00240F2E">
        <w:rPr>
          <w:rFonts w:cstheme="minorHAnsi"/>
        </w:rPr>
        <w:t xml:space="preserve"> (centre de médecine fœtale, don de sang de cordon), professeurs en soins infirmiers</w:t>
      </w:r>
    </w:p>
    <w:p w14:paraId="3DB8C7BF" w14:textId="77777777" w:rsidR="00B85C58" w:rsidRPr="00B85C58" w:rsidRDefault="00B85C58" w:rsidP="00B85C58">
      <w:pPr>
        <w:jc w:val="both"/>
        <w:rPr>
          <w:rFonts w:cstheme="minorHAnsi"/>
          <w:i/>
        </w:rPr>
      </w:pPr>
      <w:r>
        <w:rPr>
          <w:rFonts w:cstheme="minorHAnsi"/>
          <w:i/>
        </w:rPr>
        <w:t>« Les c</w:t>
      </w:r>
      <w:r w:rsidRPr="00240F2E">
        <w:rPr>
          <w:rFonts w:cstheme="minorHAnsi"/>
          <w:i/>
        </w:rPr>
        <w:t>ompétences s’enrichissent, se développent, les formations se complètent. Des nouveaux métiers et des nouvelles missions apparaissent. Lesquels sont-ils ? Comment y accéder et en profiter ? Dans quelle mesure redéfinissent-ils les places de chacun ? Comment les connaitre et les reconnaitre ? »</w:t>
      </w:r>
    </w:p>
    <w:p w14:paraId="74D3C439" w14:textId="77777777" w:rsidR="00B85C58" w:rsidRPr="009C5668" w:rsidRDefault="00B85C58" w:rsidP="00B85C58">
      <w:pPr>
        <w:jc w:val="both"/>
        <w:rPr>
          <w:rFonts w:cstheme="minorHAnsi"/>
          <w:b/>
        </w:rPr>
      </w:pPr>
      <w:r>
        <w:rPr>
          <w:rFonts w:cstheme="minorHAnsi"/>
          <w:b/>
        </w:rPr>
        <w:sym w:font="Wingdings" w:char="F0A8"/>
      </w:r>
      <w:r>
        <w:rPr>
          <w:rFonts w:cstheme="minorHAnsi"/>
          <w:b/>
        </w:rPr>
        <w:t xml:space="preserve"> Atelier 2 : </w:t>
      </w:r>
      <w:r w:rsidRPr="00240F2E">
        <w:rPr>
          <w:rFonts w:cstheme="minorHAnsi"/>
          <w:b/>
        </w:rPr>
        <w:t xml:space="preserve">Nouveaux parcours en pédopsychiatrie </w:t>
      </w:r>
      <w:r>
        <w:rPr>
          <w:rFonts w:cstheme="minorHAnsi"/>
          <w:b/>
        </w:rPr>
        <w:t xml:space="preserve"> </w:t>
      </w:r>
      <w:r w:rsidRPr="00240F2E">
        <w:rPr>
          <w:rFonts w:cstheme="minorHAnsi"/>
          <w:i/>
        </w:rPr>
        <w:t>« Depuis le début de cette pandémie, nous constatons de façon inédite un afflux d’adolescents (d’enfants ?) en grande souffrance aux urgences. Quelles nouvelles modalités de prises en charge ont pu se déployer aux urgences et hors des murs hospitaliers, pour répondre à cet afflux afin de leur proposer les soins les plus adaptés, dans le cadre le plus sécure ? »</w:t>
      </w:r>
    </w:p>
    <w:p w14:paraId="7B1BB6BD" w14:textId="77777777" w:rsidR="00B85C58" w:rsidRPr="00B85C58" w:rsidRDefault="00B85C58" w:rsidP="00B85C58">
      <w:pPr>
        <w:jc w:val="both"/>
        <w:rPr>
          <w:rFonts w:cstheme="minorHAnsi"/>
        </w:rPr>
      </w:pPr>
      <w:r>
        <w:rPr>
          <w:rFonts w:cstheme="minorHAnsi"/>
          <w:b/>
        </w:rPr>
        <w:sym w:font="Wingdings" w:char="F0A8"/>
      </w:r>
      <w:r>
        <w:rPr>
          <w:rFonts w:cstheme="minorHAnsi"/>
          <w:b/>
        </w:rPr>
        <w:t xml:space="preserve"> Atelier 3 : </w:t>
      </w:r>
      <w:r w:rsidRPr="00240F2E">
        <w:rPr>
          <w:rFonts w:cstheme="minorHAnsi"/>
          <w:b/>
        </w:rPr>
        <w:t>Parcours et environnement</w:t>
      </w:r>
      <w:r w:rsidRPr="00240F2E">
        <w:rPr>
          <w:rFonts w:cstheme="minorHAnsi"/>
        </w:rPr>
        <w:t> : lier, relier et coordonner</w:t>
      </w:r>
      <w:r>
        <w:rPr>
          <w:rFonts w:cstheme="minorHAnsi"/>
        </w:rPr>
        <w:t xml:space="preserve"> : </w:t>
      </w:r>
      <w:r w:rsidRPr="00240F2E">
        <w:rPr>
          <w:rFonts w:cstheme="minorHAnsi"/>
          <w:i/>
        </w:rPr>
        <w:t xml:space="preserve">« Qu’est-ce que l’environnement d’un patient et de sa famille, quand il est question de maladie ? Il y a la santé environnementale. Il y a tout ce qui constitue et qui construit les parcours : les liens entre les acteurs et leur coordination, les moyens de transmission et de communication. Il y a les lieux de soins, qui sont les lieux de vie au travail des soignants. Il y a le soin que l’on porte à l’environnement, comme en néonatologie pour la </w:t>
      </w:r>
      <w:proofErr w:type="spellStart"/>
      <w:r w:rsidRPr="00240F2E">
        <w:rPr>
          <w:rFonts w:cstheme="minorHAnsi"/>
          <w:i/>
        </w:rPr>
        <w:t>neuro-protection</w:t>
      </w:r>
      <w:proofErr w:type="spellEnd"/>
      <w:r w:rsidRPr="00240F2E">
        <w:rPr>
          <w:rFonts w:cstheme="minorHAnsi"/>
          <w:i/>
        </w:rPr>
        <w:t xml:space="preserve"> des nouveau-nés. Et dans l’environnement du patient et des familles, il y a aussi la place que l’on fait à la rencontre. Il existe de multiples manières d’aborder la question de l’environnement dans nos organisations et dans nos soins et autant d’exemples à partager. »</w:t>
      </w:r>
    </w:p>
    <w:p w14:paraId="713E708F" w14:textId="77777777" w:rsidR="00B85C58" w:rsidRDefault="00B85C58" w:rsidP="00B85C58">
      <w:pPr>
        <w:jc w:val="both"/>
        <w:rPr>
          <w:rFonts w:cstheme="minorHAnsi"/>
          <w:i/>
        </w:rPr>
      </w:pPr>
      <w:r>
        <w:rPr>
          <w:rFonts w:cstheme="minorHAnsi"/>
          <w:b/>
        </w:rPr>
        <w:sym w:font="Wingdings" w:char="F0A8"/>
      </w:r>
      <w:r>
        <w:rPr>
          <w:rFonts w:cstheme="minorHAnsi"/>
          <w:b/>
        </w:rPr>
        <w:t xml:space="preserve"> Atelier 4 : </w:t>
      </w:r>
      <w:r w:rsidRPr="00240F2E">
        <w:rPr>
          <w:rFonts w:cstheme="minorHAnsi"/>
          <w:b/>
        </w:rPr>
        <w:t>Prévention et accompagnement des vulnérabilités</w:t>
      </w:r>
      <w:r w:rsidRPr="00240F2E">
        <w:rPr>
          <w:rFonts w:cstheme="minorHAnsi"/>
        </w:rPr>
        <w:t xml:space="preserve"> : protection de l’enfance, accompagnement </w:t>
      </w:r>
      <w:proofErr w:type="spellStart"/>
      <w:r w:rsidRPr="00240F2E">
        <w:rPr>
          <w:rFonts w:cstheme="minorHAnsi"/>
        </w:rPr>
        <w:t>anté</w:t>
      </w:r>
      <w:proofErr w:type="spellEnd"/>
      <w:r w:rsidRPr="00240F2E">
        <w:rPr>
          <w:rFonts w:cstheme="minorHAnsi"/>
        </w:rPr>
        <w:t xml:space="preserve"> -postnatal, psychiatrie périnatale</w:t>
      </w:r>
      <w:r>
        <w:rPr>
          <w:rFonts w:cstheme="minorHAnsi"/>
        </w:rPr>
        <w:t xml:space="preserve"> : </w:t>
      </w:r>
      <w:r w:rsidRPr="00240F2E">
        <w:rPr>
          <w:rFonts w:cstheme="minorHAnsi"/>
          <w:i/>
        </w:rPr>
        <w:t xml:space="preserve">« L’accompagnement des parentalités, et des vulnérabilités, s’inscrit dans les parcours de soins, de santé et de vie de tous les patients, mais plus encore en périnatalité. La période des 1000 jours, de la conception aux 2 ans de l’enfant, est la période cible en terme de prévention et d’intervention. Comment estimer et prendre en compte, avant ou pendant la grossesse, des capacités ou incapacités futures ? Comment accompagner </w:t>
      </w:r>
      <w:r w:rsidRPr="00240F2E">
        <w:rPr>
          <w:rFonts w:cstheme="minorHAnsi"/>
          <w:i/>
        </w:rPr>
        <w:lastRenderedPageBreak/>
        <w:t>et favoriser l’émergence de compétences chez eux ? Comment protéger le nouveau-né à naitre ou à sa naissance ? Comment accompagner la mère en post-partum ? Comment protéger les parents eux-mêmes ? »</w:t>
      </w:r>
    </w:p>
    <w:p w14:paraId="0371208E" w14:textId="77777777" w:rsidR="00B85C58" w:rsidRPr="00B85C58" w:rsidRDefault="00B85C58" w:rsidP="00B85C58">
      <w:pPr>
        <w:jc w:val="both"/>
        <w:rPr>
          <w:rFonts w:cstheme="minorHAnsi"/>
          <w:b/>
        </w:rPr>
      </w:pPr>
      <w:r>
        <w:rPr>
          <w:rFonts w:cstheme="minorHAnsi"/>
          <w:b/>
        </w:rPr>
        <w:sym w:font="Wingdings" w:char="F0A8"/>
      </w:r>
      <w:r>
        <w:rPr>
          <w:rFonts w:cstheme="minorHAnsi"/>
          <w:b/>
        </w:rPr>
        <w:t xml:space="preserve"> Atelier 5 : </w:t>
      </w:r>
      <w:r w:rsidRPr="00240F2E">
        <w:rPr>
          <w:rFonts w:cstheme="minorHAnsi"/>
          <w:b/>
        </w:rPr>
        <w:t>De la conception au projet de vie</w:t>
      </w:r>
      <w:r w:rsidRPr="00240F2E">
        <w:rPr>
          <w:rFonts w:cstheme="minorHAnsi"/>
        </w:rPr>
        <w:t xml:space="preserve"> : PMA, anténatal, fin de vie, projets de naissance, thérapeutiques fœtales in utero </w:t>
      </w:r>
      <w:r w:rsidRPr="00240F2E">
        <w:rPr>
          <w:rFonts w:cstheme="minorHAnsi"/>
          <w:i/>
        </w:rPr>
        <w:t>« La Procréation Médicalement Assistée et la médecine fœtale nous projettent dans des situations médicales et psychologiques souvent complexes et nous confrontent à des décisions délicates.  Il s’agit de penser à la vie, à une vie, celle d’un enfant à naitre, ou bien sa potentielle mort prochaine. Comment anticiper et préparer l’arrivée d’un bébé porteur d’une pathologie grave ? Comment aider et soutenir les parents dans la décision de poursuivre ou non une grossesse ? Comment l’imagerie particulièrement l’échographie obstétricale permet-elle d’aborder la pathologie fœtale ?  Quels sont les outils génétiques actuels disponibles pour le diagnostic anténatal ? Quelles sont les thérapeutiques fœtales à notre disposition ? »</w:t>
      </w:r>
    </w:p>
    <w:p w14:paraId="25FA8BC7" w14:textId="77777777" w:rsidR="00B85C58" w:rsidRPr="00240F2E" w:rsidRDefault="00B85C58" w:rsidP="00B85C58">
      <w:pPr>
        <w:jc w:val="both"/>
        <w:rPr>
          <w:rFonts w:cstheme="minorHAnsi"/>
        </w:rPr>
      </w:pPr>
      <w:r>
        <w:rPr>
          <w:rFonts w:cstheme="minorHAnsi"/>
          <w:b/>
        </w:rPr>
        <w:sym w:font="Wingdings" w:char="F0A8"/>
      </w:r>
      <w:r>
        <w:rPr>
          <w:rFonts w:cstheme="minorHAnsi"/>
          <w:b/>
        </w:rPr>
        <w:t xml:space="preserve"> Atelier 6 : </w:t>
      </w:r>
      <w:r w:rsidRPr="00240F2E">
        <w:rPr>
          <w:rFonts w:cstheme="minorHAnsi"/>
          <w:b/>
        </w:rPr>
        <w:t xml:space="preserve">Les transitions </w:t>
      </w:r>
      <w:r w:rsidRPr="00240F2E">
        <w:rPr>
          <w:rFonts w:cstheme="minorHAnsi"/>
        </w:rPr>
        <w:t>(rituels de passage, de l’individu à parent, vision anthropologique, passage pubertaire, etc. …)</w:t>
      </w:r>
      <w:r>
        <w:rPr>
          <w:rFonts w:cstheme="minorHAnsi"/>
        </w:rPr>
        <w:t xml:space="preserve"> </w:t>
      </w:r>
      <w:r w:rsidRPr="00240F2E">
        <w:rPr>
          <w:rFonts w:cstheme="minorHAnsi"/>
          <w:i/>
        </w:rPr>
        <w:t>« En médecine pédiatrique, la transition signifie le passage de l’univers des soins d’un enfant malade vers celui qu’il aura quand il sera « grand », à l’âge adulte.  Il s’agit du dernier bout de chemin à faire ensemble jusqu’au moment de se dire au revoir et de passer le relai. Au-delà de cette période particulière pour un enfant malade, entre deux mondes, au-delà de la question médicale, de la santé et du soin, un parcours de vie est jalonné de transitions, de transformations du corps et de l’esprit, de rites de passage. De nombreuses expériences existent qui méritent d’être partagées et enseignées. Peut-on imaginer utiliser les dispositifs travaillés et connus à d’autres moments de vie ou de maladie, d’autres âges ? »</w:t>
      </w:r>
    </w:p>
    <w:p w14:paraId="17D120DF" w14:textId="77777777" w:rsidR="006C6CF2" w:rsidRDefault="006C6CF2" w:rsidP="006C6CF2">
      <w:pPr>
        <w:spacing w:after="0"/>
        <w:rPr>
          <w:b/>
          <w:sz w:val="24"/>
        </w:rPr>
      </w:pPr>
    </w:p>
    <w:p w14:paraId="4CE6BABE" w14:textId="77777777" w:rsidR="00173BA6" w:rsidRDefault="00173BA6" w:rsidP="00770939">
      <w:pPr>
        <w:spacing w:after="0"/>
        <w:rPr>
          <w:b/>
          <w:sz w:val="24"/>
        </w:rPr>
      </w:pPr>
    </w:p>
    <w:tbl>
      <w:tblPr>
        <w:tblStyle w:val="GridTable4-Accent1"/>
        <w:tblW w:w="10031" w:type="dxa"/>
        <w:tblLook w:val="04A0" w:firstRow="1" w:lastRow="0" w:firstColumn="1" w:lastColumn="0" w:noHBand="0" w:noVBand="1"/>
      </w:tblPr>
      <w:tblGrid>
        <w:gridCol w:w="3539"/>
        <w:gridCol w:w="6492"/>
      </w:tblGrid>
      <w:tr w:rsidR="00173BA6" w:rsidRPr="00725793" w14:paraId="1824B77D" w14:textId="77777777" w:rsidTr="004643F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031" w:type="dxa"/>
            <w:gridSpan w:val="2"/>
          </w:tcPr>
          <w:p w14:paraId="4A96D98C" w14:textId="77777777" w:rsidR="00173BA6" w:rsidRPr="00725793" w:rsidRDefault="004643FB" w:rsidP="001E56CB">
            <w:pPr>
              <w:jc w:val="center"/>
              <w:rPr>
                <w:sz w:val="20"/>
                <w:szCs w:val="20"/>
              </w:rPr>
            </w:pPr>
            <w:r>
              <w:rPr>
                <w:sz w:val="20"/>
                <w:szCs w:val="20"/>
              </w:rPr>
              <w:t xml:space="preserve">Information sur l’intervenant </w:t>
            </w:r>
          </w:p>
        </w:tc>
      </w:tr>
      <w:tr w:rsidR="00173BA6" w:rsidRPr="00725793" w14:paraId="14DB0969" w14:textId="77777777" w:rsidTr="004643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tcPr>
          <w:p w14:paraId="539FF1E7" w14:textId="77777777" w:rsidR="00173BA6" w:rsidRPr="00725793" w:rsidRDefault="00173BA6" w:rsidP="00173BA6">
            <w:pPr>
              <w:rPr>
                <w:sz w:val="20"/>
                <w:szCs w:val="20"/>
              </w:rPr>
            </w:pPr>
            <w:r>
              <w:rPr>
                <w:sz w:val="20"/>
                <w:szCs w:val="20"/>
              </w:rPr>
              <w:t xml:space="preserve">Nom </w:t>
            </w:r>
          </w:p>
        </w:tc>
        <w:tc>
          <w:tcPr>
            <w:tcW w:w="6492" w:type="dxa"/>
          </w:tcPr>
          <w:p w14:paraId="3A100D4D" w14:textId="77777777" w:rsidR="00173BA6" w:rsidRPr="00725793" w:rsidRDefault="00173BA6" w:rsidP="001E56C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16322726" w14:textId="77777777" w:rsidTr="004643FB">
        <w:trPr>
          <w:trHeight w:val="340"/>
        </w:trPr>
        <w:tc>
          <w:tcPr>
            <w:cnfStyle w:val="001000000000" w:firstRow="0" w:lastRow="0" w:firstColumn="1" w:lastColumn="0" w:oddVBand="0" w:evenVBand="0" w:oddHBand="0" w:evenHBand="0" w:firstRowFirstColumn="0" w:firstRowLastColumn="0" w:lastRowFirstColumn="0" w:lastRowLastColumn="0"/>
            <w:tcW w:w="3539" w:type="dxa"/>
          </w:tcPr>
          <w:p w14:paraId="3204AABB" w14:textId="77777777" w:rsidR="00173BA6" w:rsidRPr="00725793" w:rsidRDefault="00173BA6" w:rsidP="00173BA6">
            <w:pPr>
              <w:rPr>
                <w:sz w:val="20"/>
                <w:szCs w:val="20"/>
              </w:rPr>
            </w:pPr>
            <w:r>
              <w:rPr>
                <w:sz w:val="20"/>
                <w:szCs w:val="20"/>
              </w:rPr>
              <w:t>P</w:t>
            </w:r>
            <w:r w:rsidRPr="00725793">
              <w:rPr>
                <w:sz w:val="20"/>
                <w:szCs w:val="20"/>
              </w:rPr>
              <w:t>rénom</w:t>
            </w:r>
          </w:p>
        </w:tc>
        <w:tc>
          <w:tcPr>
            <w:tcW w:w="6492" w:type="dxa"/>
          </w:tcPr>
          <w:p w14:paraId="78169A80" w14:textId="77777777" w:rsidR="00173BA6" w:rsidRPr="00725793" w:rsidRDefault="00173BA6" w:rsidP="001E56CB">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5CF9DA71" w14:textId="77777777" w:rsidTr="004643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tcPr>
          <w:p w14:paraId="1D14A005" w14:textId="77777777" w:rsidR="00173BA6" w:rsidRPr="00725793" w:rsidRDefault="00173BA6" w:rsidP="001E56CB">
            <w:pPr>
              <w:jc w:val="both"/>
              <w:rPr>
                <w:sz w:val="20"/>
                <w:szCs w:val="20"/>
              </w:rPr>
            </w:pPr>
            <w:r w:rsidRPr="00725793">
              <w:rPr>
                <w:sz w:val="20"/>
                <w:szCs w:val="20"/>
              </w:rPr>
              <w:t>Établissement hospitalier</w:t>
            </w:r>
          </w:p>
        </w:tc>
        <w:tc>
          <w:tcPr>
            <w:tcW w:w="6492" w:type="dxa"/>
          </w:tcPr>
          <w:p w14:paraId="3B4B90AC" w14:textId="77777777" w:rsidR="00173BA6" w:rsidRPr="00725793" w:rsidRDefault="00173BA6" w:rsidP="001E56C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202D4A17" w14:textId="77777777" w:rsidTr="004643FB">
        <w:trPr>
          <w:trHeight w:val="340"/>
        </w:trPr>
        <w:tc>
          <w:tcPr>
            <w:cnfStyle w:val="001000000000" w:firstRow="0" w:lastRow="0" w:firstColumn="1" w:lastColumn="0" w:oddVBand="0" w:evenVBand="0" w:oddHBand="0" w:evenHBand="0" w:firstRowFirstColumn="0" w:firstRowLastColumn="0" w:lastRowFirstColumn="0" w:lastRowLastColumn="0"/>
            <w:tcW w:w="3539" w:type="dxa"/>
          </w:tcPr>
          <w:p w14:paraId="783E1796" w14:textId="77777777" w:rsidR="00173BA6" w:rsidRPr="00725793" w:rsidRDefault="00173BA6" w:rsidP="001E56CB">
            <w:pPr>
              <w:jc w:val="both"/>
              <w:rPr>
                <w:sz w:val="20"/>
                <w:szCs w:val="20"/>
              </w:rPr>
            </w:pPr>
            <w:r>
              <w:rPr>
                <w:sz w:val="20"/>
                <w:szCs w:val="20"/>
              </w:rPr>
              <w:t>Adresse</w:t>
            </w:r>
          </w:p>
        </w:tc>
        <w:tc>
          <w:tcPr>
            <w:tcW w:w="6492" w:type="dxa"/>
          </w:tcPr>
          <w:p w14:paraId="011BBCF9" w14:textId="77777777" w:rsidR="00173BA6" w:rsidRPr="00725793" w:rsidRDefault="00173BA6" w:rsidP="001E56CB">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73F84F99" w14:textId="77777777" w:rsidTr="004643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tcPr>
          <w:p w14:paraId="04801F97" w14:textId="77777777" w:rsidR="00173BA6" w:rsidRPr="00725793" w:rsidRDefault="00173BA6" w:rsidP="001E56CB">
            <w:pPr>
              <w:jc w:val="both"/>
              <w:rPr>
                <w:sz w:val="20"/>
                <w:szCs w:val="20"/>
              </w:rPr>
            </w:pPr>
            <w:r w:rsidRPr="00725793">
              <w:rPr>
                <w:sz w:val="20"/>
                <w:szCs w:val="20"/>
              </w:rPr>
              <w:t>Service ou département</w:t>
            </w:r>
          </w:p>
        </w:tc>
        <w:tc>
          <w:tcPr>
            <w:tcW w:w="6492" w:type="dxa"/>
          </w:tcPr>
          <w:p w14:paraId="42488A8E" w14:textId="77777777" w:rsidR="00173BA6" w:rsidRPr="00725793" w:rsidRDefault="00173BA6" w:rsidP="001E56C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5E5E2879" w14:textId="77777777" w:rsidTr="004643FB">
        <w:trPr>
          <w:trHeight w:val="340"/>
        </w:trPr>
        <w:tc>
          <w:tcPr>
            <w:cnfStyle w:val="001000000000" w:firstRow="0" w:lastRow="0" w:firstColumn="1" w:lastColumn="0" w:oddVBand="0" w:evenVBand="0" w:oddHBand="0" w:evenHBand="0" w:firstRowFirstColumn="0" w:firstRowLastColumn="0" w:lastRowFirstColumn="0" w:lastRowLastColumn="0"/>
            <w:tcW w:w="3539" w:type="dxa"/>
          </w:tcPr>
          <w:p w14:paraId="18129938" w14:textId="77777777" w:rsidR="00173BA6" w:rsidRPr="00725793" w:rsidRDefault="00173BA6" w:rsidP="001E56CB">
            <w:pPr>
              <w:jc w:val="both"/>
              <w:rPr>
                <w:sz w:val="20"/>
                <w:szCs w:val="20"/>
              </w:rPr>
            </w:pPr>
            <w:r>
              <w:rPr>
                <w:sz w:val="20"/>
                <w:szCs w:val="20"/>
              </w:rPr>
              <w:t>Fonction</w:t>
            </w:r>
          </w:p>
        </w:tc>
        <w:tc>
          <w:tcPr>
            <w:tcW w:w="6492" w:type="dxa"/>
          </w:tcPr>
          <w:p w14:paraId="1C8CBDE8" w14:textId="77777777" w:rsidR="00173BA6" w:rsidRPr="00725793" w:rsidRDefault="00173BA6" w:rsidP="001E56CB">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173BA6" w:rsidRPr="00725793" w14:paraId="2335B447" w14:textId="77777777" w:rsidTr="004643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dxa"/>
          </w:tcPr>
          <w:p w14:paraId="5D4396D4" w14:textId="77777777" w:rsidR="00173BA6" w:rsidRPr="00725793" w:rsidRDefault="00173BA6" w:rsidP="001E56CB">
            <w:pPr>
              <w:jc w:val="both"/>
              <w:rPr>
                <w:sz w:val="20"/>
                <w:szCs w:val="20"/>
              </w:rPr>
            </w:pPr>
            <w:r w:rsidRPr="00725793">
              <w:rPr>
                <w:sz w:val="20"/>
                <w:szCs w:val="20"/>
              </w:rPr>
              <w:t>Téléphone</w:t>
            </w:r>
          </w:p>
        </w:tc>
        <w:tc>
          <w:tcPr>
            <w:tcW w:w="6492" w:type="dxa"/>
          </w:tcPr>
          <w:p w14:paraId="04FE19F0" w14:textId="77777777" w:rsidR="00173BA6" w:rsidRPr="00725793" w:rsidRDefault="00173BA6" w:rsidP="001E56C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173BA6" w:rsidRPr="00725793" w14:paraId="7FC52B19" w14:textId="77777777" w:rsidTr="004643FB">
        <w:trPr>
          <w:trHeight w:val="340"/>
        </w:trPr>
        <w:tc>
          <w:tcPr>
            <w:cnfStyle w:val="001000000000" w:firstRow="0" w:lastRow="0" w:firstColumn="1" w:lastColumn="0" w:oddVBand="0" w:evenVBand="0" w:oddHBand="0" w:evenHBand="0" w:firstRowFirstColumn="0" w:firstRowLastColumn="0" w:lastRowFirstColumn="0" w:lastRowLastColumn="0"/>
            <w:tcW w:w="3539" w:type="dxa"/>
          </w:tcPr>
          <w:p w14:paraId="5E51C216" w14:textId="77777777" w:rsidR="00173BA6" w:rsidRPr="00725793" w:rsidRDefault="00173BA6" w:rsidP="001E56CB">
            <w:pPr>
              <w:jc w:val="both"/>
              <w:rPr>
                <w:sz w:val="20"/>
                <w:szCs w:val="20"/>
              </w:rPr>
            </w:pPr>
            <w:r w:rsidRPr="00725793">
              <w:rPr>
                <w:sz w:val="20"/>
                <w:szCs w:val="20"/>
              </w:rPr>
              <w:t xml:space="preserve">Courriel </w:t>
            </w:r>
          </w:p>
        </w:tc>
        <w:tc>
          <w:tcPr>
            <w:tcW w:w="6492" w:type="dxa"/>
          </w:tcPr>
          <w:p w14:paraId="018FABF9" w14:textId="77777777" w:rsidR="00173BA6" w:rsidRPr="00725793" w:rsidRDefault="00173BA6" w:rsidP="001E56CB">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4A134E67" w14:textId="77777777" w:rsidR="00173BA6" w:rsidRDefault="00173BA6" w:rsidP="00173BA6">
      <w:pPr>
        <w:spacing w:after="0"/>
        <w:jc w:val="both"/>
        <w:rPr>
          <w:b/>
          <w:sz w:val="24"/>
        </w:rPr>
      </w:pPr>
    </w:p>
    <w:p w14:paraId="61B38F38" w14:textId="275DB8F2" w:rsidR="00173BA6" w:rsidRDefault="007A0B50" w:rsidP="00770939">
      <w:pPr>
        <w:spacing w:after="0"/>
        <w:rPr>
          <w:b/>
          <w:sz w:val="24"/>
        </w:rPr>
      </w:pPr>
      <w:r>
        <w:rPr>
          <w:b/>
          <w:sz w:val="24"/>
        </w:rPr>
        <w:t>Titre de l’atelier :</w:t>
      </w:r>
    </w:p>
    <w:p w14:paraId="164BB515" w14:textId="77777777" w:rsidR="007A0B50" w:rsidRDefault="007A0B50" w:rsidP="00770939">
      <w:pPr>
        <w:spacing w:after="0"/>
        <w:rPr>
          <w:b/>
          <w:sz w:val="24"/>
        </w:rPr>
      </w:pPr>
    </w:p>
    <w:p w14:paraId="408A5453" w14:textId="159F2B45" w:rsidR="00173BA6" w:rsidRDefault="004643FB" w:rsidP="00770939">
      <w:pPr>
        <w:spacing w:after="0"/>
        <w:rPr>
          <w:b/>
          <w:sz w:val="24"/>
        </w:rPr>
      </w:pPr>
      <w:r>
        <w:rPr>
          <w:b/>
          <w:sz w:val="24"/>
        </w:rPr>
        <w:t>Titre de la présentation :</w:t>
      </w:r>
    </w:p>
    <w:p w14:paraId="15D1CD18" w14:textId="77777777" w:rsidR="004643FB" w:rsidRDefault="004643FB" w:rsidP="00770939">
      <w:pPr>
        <w:spacing w:after="0"/>
        <w:rPr>
          <w:b/>
          <w:sz w:val="24"/>
        </w:rPr>
      </w:pPr>
    </w:p>
    <w:p w14:paraId="2CB5DC80" w14:textId="77777777" w:rsidR="00173BA6" w:rsidRDefault="00173BA6" w:rsidP="00770939">
      <w:pPr>
        <w:spacing w:after="0"/>
        <w:rPr>
          <w:b/>
          <w:sz w:val="24"/>
        </w:rPr>
      </w:pPr>
    </w:p>
    <w:p w14:paraId="57D8D89D" w14:textId="77777777" w:rsidR="00173BA6" w:rsidRDefault="00173BA6" w:rsidP="00173BA6">
      <w:pPr>
        <w:spacing w:after="0"/>
        <w:rPr>
          <w:b/>
          <w:sz w:val="24"/>
        </w:rPr>
      </w:pPr>
      <w:r>
        <w:rPr>
          <w:b/>
          <w:sz w:val="24"/>
        </w:rPr>
        <w:t>Auteurs</w:t>
      </w:r>
      <w:r w:rsidRPr="00770939">
        <w:rPr>
          <w:b/>
          <w:sz w:val="24"/>
        </w:rPr>
        <w:t> </w:t>
      </w:r>
      <w:r>
        <w:rPr>
          <w:b/>
          <w:sz w:val="24"/>
        </w:rPr>
        <w:t>(Nom, prénom, fonction, CHU)</w:t>
      </w:r>
    </w:p>
    <w:p w14:paraId="34FAEF21" w14:textId="77777777" w:rsidR="00173BA6" w:rsidRPr="004643FB" w:rsidRDefault="00173BA6" w:rsidP="004643FB">
      <w:pPr>
        <w:pStyle w:val="ListParagraph"/>
        <w:numPr>
          <w:ilvl w:val="0"/>
          <w:numId w:val="9"/>
        </w:numPr>
        <w:spacing w:after="0"/>
        <w:rPr>
          <w:b/>
          <w:sz w:val="24"/>
        </w:rPr>
      </w:pPr>
    </w:p>
    <w:p w14:paraId="19B494A4" w14:textId="77777777" w:rsidR="004643FB" w:rsidRPr="004643FB" w:rsidRDefault="004643FB" w:rsidP="004643FB">
      <w:pPr>
        <w:pStyle w:val="ListParagraph"/>
        <w:numPr>
          <w:ilvl w:val="0"/>
          <w:numId w:val="9"/>
        </w:numPr>
        <w:spacing w:after="0"/>
        <w:rPr>
          <w:b/>
          <w:sz w:val="24"/>
        </w:rPr>
      </w:pPr>
      <w:r w:rsidRPr="004643FB">
        <w:rPr>
          <w:b/>
          <w:sz w:val="24"/>
        </w:rPr>
        <w:t xml:space="preserve"> </w:t>
      </w:r>
    </w:p>
    <w:p w14:paraId="3FB70E47" w14:textId="77777777" w:rsidR="006C6CF2" w:rsidRPr="004643FB" w:rsidRDefault="004643FB" w:rsidP="004643FB">
      <w:pPr>
        <w:pStyle w:val="ListParagraph"/>
        <w:numPr>
          <w:ilvl w:val="0"/>
          <w:numId w:val="9"/>
        </w:numPr>
        <w:spacing w:after="0"/>
        <w:rPr>
          <w:b/>
          <w:sz w:val="24"/>
        </w:rPr>
      </w:pPr>
      <w:r w:rsidRPr="004643FB">
        <w:rPr>
          <w:b/>
          <w:sz w:val="24"/>
        </w:rPr>
        <w:t xml:space="preserve"> </w:t>
      </w:r>
    </w:p>
    <w:p w14:paraId="6CAB8432" w14:textId="77777777" w:rsidR="006C6CF2" w:rsidRPr="000423DA" w:rsidRDefault="006C6CF2" w:rsidP="006C6CF2">
      <w:pPr>
        <w:spacing w:after="0"/>
        <w:rPr>
          <w:b/>
          <w:sz w:val="24"/>
        </w:rPr>
      </w:pPr>
    </w:p>
    <w:p w14:paraId="0AFB5A2B" w14:textId="77777777" w:rsidR="0098128E" w:rsidRPr="000423DA" w:rsidRDefault="0098128E" w:rsidP="006C6CF2">
      <w:pPr>
        <w:spacing w:after="0"/>
        <w:rPr>
          <w:b/>
          <w:sz w:val="24"/>
        </w:rPr>
      </w:pPr>
    </w:p>
    <w:p w14:paraId="67BEDB97" w14:textId="77777777" w:rsidR="006C6CF2" w:rsidRPr="000423DA" w:rsidRDefault="006C6CF2" w:rsidP="006C6CF2">
      <w:pPr>
        <w:spacing w:after="0"/>
        <w:rPr>
          <w:b/>
          <w:sz w:val="24"/>
        </w:rPr>
      </w:pPr>
      <w:r w:rsidRPr="000423DA">
        <w:rPr>
          <w:b/>
          <w:sz w:val="24"/>
        </w:rPr>
        <w:t>Résumé de la présentation </w:t>
      </w:r>
      <w:r w:rsidR="004643FB">
        <w:rPr>
          <w:b/>
          <w:sz w:val="24"/>
        </w:rPr>
        <w:t xml:space="preserve">en français </w:t>
      </w:r>
      <w:r w:rsidRPr="000423DA">
        <w:rPr>
          <w:b/>
          <w:sz w:val="24"/>
        </w:rPr>
        <w:t>:</w:t>
      </w:r>
      <w:r w:rsidR="000423DA" w:rsidRPr="000423DA">
        <w:rPr>
          <w:b/>
          <w:sz w:val="24"/>
        </w:rPr>
        <w:t xml:space="preserve"> </w:t>
      </w:r>
    </w:p>
    <w:p w14:paraId="1FFB23FF" w14:textId="77777777" w:rsidR="0098128E" w:rsidRPr="000423DA" w:rsidRDefault="0098128E" w:rsidP="006C6CF2">
      <w:pPr>
        <w:spacing w:after="0"/>
        <w:rPr>
          <w:b/>
          <w:sz w:val="24"/>
        </w:rPr>
      </w:pPr>
    </w:p>
    <w:p w14:paraId="00A0B5F2" w14:textId="77777777" w:rsidR="0098128E" w:rsidRPr="000423DA" w:rsidRDefault="0098128E" w:rsidP="006C6CF2">
      <w:pPr>
        <w:spacing w:after="0"/>
        <w:rPr>
          <w:b/>
          <w:sz w:val="24"/>
        </w:rPr>
      </w:pPr>
    </w:p>
    <w:p w14:paraId="3070C341" w14:textId="77777777" w:rsidR="00920449" w:rsidRDefault="004643FB" w:rsidP="006C6CF2">
      <w:pPr>
        <w:spacing w:after="0"/>
        <w:rPr>
          <w:b/>
          <w:sz w:val="24"/>
        </w:rPr>
      </w:pPr>
      <w:r>
        <w:rPr>
          <w:b/>
          <w:sz w:val="24"/>
        </w:rPr>
        <w:t xml:space="preserve">Contexte : </w:t>
      </w:r>
    </w:p>
    <w:p w14:paraId="70FF733F" w14:textId="77777777" w:rsidR="004643FB" w:rsidRDefault="004643FB" w:rsidP="006C6CF2">
      <w:pPr>
        <w:spacing w:after="0"/>
        <w:rPr>
          <w:b/>
          <w:sz w:val="24"/>
        </w:rPr>
      </w:pPr>
    </w:p>
    <w:p w14:paraId="12F52D0A" w14:textId="77777777" w:rsidR="004643FB" w:rsidRDefault="004643FB" w:rsidP="006C6CF2">
      <w:pPr>
        <w:spacing w:after="0"/>
        <w:rPr>
          <w:b/>
          <w:sz w:val="24"/>
        </w:rPr>
      </w:pPr>
    </w:p>
    <w:p w14:paraId="62CD9F23" w14:textId="77777777" w:rsidR="004643FB" w:rsidRDefault="004643FB" w:rsidP="006C6CF2">
      <w:pPr>
        <w:spacing w:after="0"/>
        <w:rPr>
          <w:b/>
          <w:sz w:val="24"/>
        </w:rPr>
      </w:pPr>
      <w:r>
        <w:rPr>
          <w:b/>
          <w:sz w:val="24"/>
        </w:rPr>
        <w:t xml:space="preserve">Objectif : </w:t>
      </w:r>
    </w:p>
    <w:sectPr w:rsidR="004643FB" w:rsidSect="00086B4B">
      <w:footerReference w:type="default" r:id="rId10"/>
      <w:pgSz w:w="11906" w:h="16838"/>
      <w:pgMar w:top="425" w:right="822"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7064" w14:textId="77777777" w:rsidR="00FA279B" w:rsidRDefault="00FA279B" w:rsidP="004643FB">
      <w:pPr>
        <w:spacing w:after="0" w:line="240" w:lineRule="auto"/>
      </w:pPr>
      <w:r>
        <w:separator/>
      </w:r>
    </w:p>
  </w:endnote>
  <w:endnote w:type="continuationSeparator" w:id="0">
    <w:p w14:paraId="3CCCFFF7" w14:textId="77777777" w:rsidR="00FA279B" w:rsidRDefault="00FA279B" w:rsidP="0046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03739"/>
      <w:docPartObj>
        <w:docPartGallery w:val="Page Numbers (Bottom of Page)"/>
        <w:docPartUnique/>
      </w:docPartObj>
    </w:sdtPr>
    <w:sdtEndPr/>
    <w:sdtContent>
      <w:p w14:paraId="27112685" w14:textId="77777777" w:rsidR="004643FB" w:rsidRDefault="004643FB">
        <w:pPr>
          <w:pStyle w:val="Footer"/>
          <w:jc w:val="center"/>
        </w:pPr>
        <w:r>
          <w:fldChar w:fldCharType="begin"/>
        </w:r>
        <w:r>
          <w:instrText>PAGE   \* MERGEFORMAT</w:instrText>
        </w:r>
        <w:r>
          <w:fldChar w:fldCharType="separate"/>
        </w:r>
        <w:r w:rsidR="00844469">
          <w:rPr>
            <w:noProof/>
          </w:rPr>
          <w:t>2</w:t>
        </w:r>
        <w:r>
          <w:fldChar w:fldCharType="end"/>
        </w:r>
      </w:p>
    </w:sdtContent>
  </w:sdt>
  <w:p w14:paraId="57FF9614" w14:textId="77777777" w:rsidR="004643FB" w:rsidRDefault="0046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A04B" w14:textId="77777777" w:rsidR="00FA279B" w:rsidRDefault="00FA279B" w:rsidP="004643FB">
      <w:pPr>
        <w:spacing w:after="0" w:line="240" w:lineRule="auto"/>
      </w:pPr>
      <w:r>
        <w:separator/>
      </w:r>
    </w:p>
  </w:footnote>
  <w:footnote w:type="continuationSeparator" w:id="0">
    <w:p w14:paraId="248EF669" w14:textId="77777777" w:rsidR="00FA279B" w:rsidRDefault="00FA279B" w:rsidP="0046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554"/>
    <w:multiLevelType w:val="hybridMultilevel"/>
    <w:tmpl w:val="8C529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821016"/>
    <w:multiLevelType w:val="hybridMultilevel"/>
    <w:tmpl w:val="91841B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AB223F"/>
    <w:multiLevelType w:val="hybridMultilevel"/>
    <w:tmpl w:val="F1723E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A1295"/>
    <w:multiLevelType w:val="hybridMultilevel"/>
    <w:tmpl w:val="25E4DDF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00659BA"/>
    <w:multiLevelType w:val="hybridMultilevel"/>
    <w:tmpl w:val="955A43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E06667"/>
    <w:multiLevelType w:val="hybridMultilevel"/>
    <w:tmpl w:val="BAB071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7C3448B"/>
    <w:multiLevelType w:val="hybridMultilevel"/>
    <w:tmpl w:val="B24C8C8C"/>
    <w:lvl w:ilvl="0" w:tplc="4DDAFB22">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7921EB"/>
    <w:multiLevelType w:val="hybridMultilevel"/>
    <w:tmpl w:val="F86CE308"/>
    <w:lvl w:ilvl="0" w:tplc="0C0C0003">
      <w:start w:val="1"/>
      <w:numFmt w:val="bullet"/>
      <w:lvlText w:val="o"/>
      <w:lvlJc w:val="left"/>
      <w:pPr>
        <w:ind w:left="1430" w:hanging="360"/>
      </w:pPr>
      <w:rPr>
        <w:rFonts w:ascii="Courier New" w:hAnsi="Courier New" w:cs="Courier New" w:hint="default"/>
      </w:rPr>
    </w:lvl>
    <w:lvl w:ilvl="1" w:tplc="0C0C0003">
      <w:start w:val="1"/>
      <w:numFmt w:val="bullet"/>
      <w:lvlText w:val="o"/>
      <w:lvlJc w:val="left"/>
      <w:pPr>
        <w:ind w:left="2150" w:hanging="360"/>
      </w:pPr>
      <w:rPr>
        <w:rFonts w:ascii="Courier New" w:hAnsi="Courier New" w:cs="Courier New" w:hint="default"/>
      </w:rPr>
    </w:lvl>
    <w:lvl w:ilvl="2" w:tplc="0C0C0005">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8" w15:restartNumberingAfterBreak="0">
    <w:nsid w:val="6CB51EC1"/>
    <w:multiLevelType w:val="hybridMultilevel"/>
    <w:tmpl w:val="0C047798"/>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7"/>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F2"/>
    <w:rsid w:val="00024CF9"/>
    <w:rsid w:val="000423DA"/>
    <w:rsid w:val="00074332"/>
    <w:rsid w:val="00086B4B"/>
    <w:rsid w:val="000B3E6F"/>
    <w:rsid w:val="000C285E"/>
    <w:rsid w:val="000E3476"/>
    <w:rsid w:val="000F6D01"/>
    <w:rsid w:val="00132904"/>
    <w:rsid w:val="00142A2A"/>
    <w:rsid w:val="00155E39"/>
    <w:rsid w:val="0016263E"/>
    <w:rsid w:val="0017384E"/>
    <w:rsid w:val="00173BA6"/>
    <w:rsid w:val="001D5159"/>
    <w:rsid w:val="00201E8C"/>
    <w:rsid w:val="0020446E"/>
    <w:rsid w:val="00236E9B"/>
    <w:rsid w:val="00246362"/>
    <w:rsid w:val="00296769"/>
    <w:rsid w:val="002B1A18"/>
    <w:rsid w:val="00303CC7"/>
    <w:rsid w:val="00314C57"/>
    <w:rsid w:val="00362D07"/>
    <w:rsid w:val="00363569"/>
    <w:rsid w:val="00387F44"/>
    <w:rsid w:val="00395205"/>
    <w:rsid w:val="003B1D7B"/>
    <w:rsid w:val="003D521F"/>
    <w:rsid w:val="00436C64"/>
    <w:rsid w:val="00446FCA"/>
    <w:rsid w:val="00450CDB"/>
    <w:rsid w:val="004643FB"/>
    <w:rsid w:val="0047635A"/>
    <w:rsid w:val="00493097"/>
    <w:rsid w:val="004A6577"/>
    <w:rsid w:val="004E323B"/>
    <w:rsid w:val="004F46A1"/>
    <w:rsid w:val="00513856"/>
    <w:rsid w:val="0052635D"/>
    <w:rsid w:val="00526F1C"/>
    <w:rsid w:val="00534B0F"/>
    <w:rsid w:val="00541EA9"/>
    <w:rsid w:val="00582D21"/>
    <w:rsid w:val="00596535"/>
    <w:rsid w:val="00602187"/>
    <w:rsid w:val="00633DE6"/>
    <w:rsid w:val="0065295D"/>
    <w:rsid w:val="00654640"/>
    <w:rsid w:val="0069265E"/>
    <w:rsid w:val="006971FC"/>
    <w:rsid w:val="006B5CCE"/>
    <w:rsid w:val="006C6A75"/>
    <w:rsid w:val="006C6CF2"/>
    <w:rsid w:val="00727037"/>
    <w:rsid w:val="00746CF9"/>
    <w:rsid w:val="007560EE"/>
    <w:rsid w:val="00764767"/>
    <w:rsid w:val="00770939"/>
    <w:rsid w:val="00790785"/>
    <w:rsid w:val="007919D5"/>
    <w:rsid w:val="0079412B"/>
    <w:rsid w:val="007A0B50"/>
    <w:rsid w:val="007E1A8E"/>
    <w:rsid w:val="00804812"/>
    <w:rsid w:val="0084263B"/>
    <w:rsid w:val="00844469"/>
    <w:rsid w:val="008502CA"/>
    <w:rsid w:val="00875727"/>
    <w:rsid w:val="00895816"/>
    <w:rsid w:val="008A002B"/>
    <w:rsid w:val="008B5E74"/>
    <w:rsid w:val="008C2550"/>
    <w:rsid w:val="008C4C65"/>
    <w:rsid w:val="008E05E7"/>
    <w:rsid w:val="008F551A"/>
    <w:rsid w:val="00920449"/>
    <w:rsid w:val="009208E3"/>
    <w:rsid w:val="00937445"/>
    <w:rsid w:val="00966EB7"/>
    <w:rsid w:val="0098128E"/>
    <w:rsid w:val="009E38A7"/>
    <w:rsid w:val="009F57F7"/>
    <w:rsid w:val="00A06E28"/>
    <w:rsid w:val="00A22292"/>
    <w:rsid w:val="00A23A78"/>
    <w:rsid w:val="00A23B3C"/>
    <w:rsid w:val="00A658C5"/>
    <w:rsid w:val="00A70968"/>
    <w:rsid w:val="00AB349E"/>
    <w:rsid w:val="00AB6C71"/>
    <w:rsid w:val="00AE0796"/>
    <w:rsid w:val="00AF78F2"/>
    <w:rsid w:val="00B85C58"/>
    <w:rsid w:val="00BA0CD2"/>
    <w:rsid w:val="00C12326"/>
    <w:rsid w:val="00C17CB0"/>
    <w:rsid w:val="00C21F34"/>
    <w:rsid w:val="00C93D9A"/>
    <w:rsid w:val="00CA2D62"/>
    <w:rsid w:val="00CC248E"/>
    <w:rsid w:val="00CD0F39"/>
    <w:rsid w:val="00CE5091"/>
    <w:rsid w:val="00CF2804"/>
    <w:rsid w:val="00D00892"/>
    <w:rsid w:val="00D13410"/>
    <w:rsid w:val="00D23B22"/>
    <w:rsid w:val="00D319E9"/>
    <w:rsid w:val="00D3542E"/>
    <w:rsid w:val="00D51F34"/>
    <w:rsid w:val="00D542D6"/>
    <w:rsid w:val="00D6575A"/>
    <w:rsid w:val="00D83D7A"/>
    <w:rsid w:val="00D90AD2"/>
    <w:rsid w:val="00DE47C0"/>
    <w:rsid w:val="00E54F55"/>
    <w:rsid w:val="00E851CE"/>
    <w:rsid w:val="00EA40C4"/>
    <w:rsid w:val="00EB02EE"/>
    <w:rsid w:val="00EB3B51"/>
    <w:rsid w:val="00ED593D"/>
    <w:rsid w:val="00ED5E57"/>
    <w:rsid w:val="00EE0B77"/>
    <w:rsid w:val="00EE6A4F"/>
    <w:rsid w:val="00F74F01"/>
    <w:rsid w:val="00F80DE8"/>
    <w:rsid w:val="00F848CA"/>
    <w:rsid w:val="00F86070"/>
    <w:rsid w:val="00F91E21"/>
    <w:rsid w:val="00F92B0C"/>
    <w:rsid w:val="00FA279B"/>
    <w:rsid w:val="00FB115C"/>
    <w:rsid w:val="00FB1DE5"/>
    <w:rsid w:val="00FC0B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6A42"/>
  <w15:docId w15:val="{22EB6FCF-CBC9-4CE9-97E9-310243CC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CF2"/>
    <w:rPr>
      <w:color w:val="0000FF"/>
      <w:u w:val="single"/>
    </w:rPr>
  </w:style>
  <w:style w:type="table" w:styleId="TableGrid">
    <w:name w:val="Table Grid"/>
    <w:basedOn w:val="TableNormal"/>
    <w:uiPriority w:val="59"/>
    <w:rsid w:val="006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F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FCA"/>
    <w:rPr>
      <w:rFonts w:ascii="Tahoma" w:hAnsi="Tahoma" w:cs="Tahoma"/>
      <w:sz w:val="16"/>
      <w:szCs w:val="16"/>
      <w:lang w:eastAsia="en-US"/>
    </w:rPr>
  </w:style>
  <w:style w:type="table" w:customStyle="1" w:styleId="TableauGrille5Fonc-Accentuation11">
    <w:name w:val="Tableau Grille 5 Foncé - Accentuation 11"/>
    <w:basedOn w:val="TableNormal"/>
    <w:uiPriority w:val="50"/>
    <w:rsid w:val="009E38A7"/>
    <w:rPr>
      <w:rFonts w:asciiTheme="minorHAnsi" w:eastAsiaTheme="minorHAnsi" w:hAnsiTheme="minorHAnsi" w:cstheme="minorBidi"/>
      <w:color w:val="595959" w:themeColor="text1" w:themeTint="A6"/>
      <w:sz w:val="28"/>
      <w:szCs w:val="28"/>
      <w:lang w:val="fr-FR" w:eastAsia="ja-JP" w:bidi="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173BA6"/>
    <w:pPr>
      <w:ind w:left="720"/>
      <w:contextualSpacing/>
    </w:pPr>
  </w:style>
  <w:style w:type="character" w:styleId="Emphasis">
    <w:name w:val="Emphasis"/>
    <w:unhideWhenUsed/>
    <w:qFormat/>
    <w:rsid w:val="00FC0BC1"/>
    <w:rPr>
      <w:b/>
      <w:iCs/>
    </w:rPr>
  </w:style>
  <w:style w:type="character" w:styleId="Strong">
    <w:name w:val="Strong"/>
    <w:unhideWhenUsed/>
    <w:qFormat/>
    <w:rsid w:val="00FC0BC1"/>
    <w:rPr>
      <w:b/>
      <w:bCs/>
      <w:i/>
      <w:color w:val="266CBF"/>
    </w:rPr>
  </w:style>
  <w:style w:type="table" w:styleId="TableGridLight">
    <w:name w:val="Grid Table Light"/>
    <w:basedOn w:val="TableNormal"/>
    <w:uiPriority w:val="40"/>
    <w:rsid w:val="004643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643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43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643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643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643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643F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4643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4643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43FB"/>
    <w:rPr>
      <w:sz w:val="22"/>
      <w:szCs w:val="22"/>
      <w:lang w:val="fr-FR" w:eastAsia="en-US"/>
    </w:rPr>
  </w:style>
  <w:style w:type="paragraph" w:styleId="Footer">
    <w:name w:val="footer"/>
    <w:basedOn w:val="Normal"/>
    <w:link w:val="FooterChar"/>
    <w:uiPriority w:val="99"/>
    <w:unhideWhenUsed/>
    <w:rsid w:val="004643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43FB"/>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670">
      <w:bodyDiv w:val="1"/>
      <w:marLeft w:val="0"/>
      <w:marRight w:val="0"/>
      <w:marTop w:val="0"/>
      <w:marBottom w:val="0"/>
      <w:divBdr>
        <w:top w:val="none" w:sz="0" w:space="0" w:color="auto"/>
        <w:left w:val="none" w:sz="0" w:space="0" w:color="auto"/>
        <w:bottom w:val="none" w:sz="0" w:space="0" w:color="auto"/>
        <w:right w:val="none" w:sz="0" w:space="0" w:color="auto"/>
      </w:divBdr>
    </w:div>
    <w:div w:id="235670481">
      <w:bodyDiv w:val="1"/>
      <w:marLeft w:val="0"/>
      <w:marRight w:val="0"/>
      <w:marTop w:val="0"/>
      <w:marBottom w:val="0"/>
      <w:divBdr>
        <w:top w:val="none" w:sz="0" w:space="0" w:color="auto"/>
        <w:left w:val="none" w:sz="0" w:space="0" w:color="auto"/>
        <w:bottom w:val="none" w:sz="0" w:space="0" w:color="auto"/>
        <w:right w:val="none" w:sz="0" w:space="0" w:color="auto"/>
      </w:divBdr>
    </w:div>
    <w:div w:id="277183486">
      <w:bodyDiv w:val="1"/>
      <w:marLeft w:val="0"/>
      <w:marRight w:val="0"/>
      <w:marTop w:val="0"/>
      <w:marBottom w:val="0"/>
      <w:divBdr>
        <w:top w:val="none" w:sz="0" w:space="0" w:color="auto"/>
        <w:left w:val="none" w:sz="0" w:space="0" w:color="auto"/>
        <w:bottom w:val="none" w:sz="0" w:space="0" w:color="auto"/>
        <w:right w:val="none" w:sz="0" w:space="0" w:color="auto"/>
      </w:divBdr>
    </w:div>
    <w:div w:id="364058336">
      <w:bodyDiv w:val="1"/>
      <w:marLeft w:val="0"/>
      <w:marRight w:val="0"/>
      <w:marTop w:val="0"/>
      <w:marBottom w:val="0"/>
      <w:divBdr>
        <w:top w:val="none" w:sz="0" w:space="0" w:color="auto"/>
        <w:left w:val="none" w:sz="0" w:space="0" w:color="auto"/>
        <w:bottom w:val="none" w:sz="0" w:space="0" w:color="auto"/>
        <w:right w:val="none" w:sz="0" w:space="0" w:color="auto"/>
      </w:divBdr>
    </w:div>
    <w:div w:id="60557738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810757641">
      <w:bodyDiv w:val="1"/>
      <w:marLeft w:val="0"/>
      <w:marRight w:val="0"/>
      <w:marTop w:val="0"/>
      <w:marBottom w:val="0"/>
      <w:divBdr>
        <w:top w:val="none" w:sz="0" w:space="0" w:color="auto"/>
        <w:left w:val="none" w:sz="0" w:space="0" w:color="auto"/>
        <w:bottom w:val="none" w:sz="0" w:space="0" w:color="auto"/>
        <w:right w:val="none" w:sz="0" w:space="0" w:color="auto"/>
      </w:divBdr>
    </w:div>
    <w:div w:id="17336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AFAC-D431-43AE-BCE0-DF5BBD01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Chru-Lille</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RICHOU Helene</dc:creator>
  <cp:lastModifiedBy>Knaidil, Ibtissam (MTL-MWG)</cp:lastModifiedBy>
  <cp:revision>5</cp:revision>
  <cp:lastPrinted>2017-01-31T19:40:00Z</cp:lastPrinted>
  <dcterms:created xsi:type="dcterms:W3CDTF">2022-02-14T15:58:00Z</dcterms:created>
  <dcterms:modified xsi:type="dcterms:W3CDTF">2022-03-09T18:59:00Z</dcterms:modified>
</cp:coreProperties>
</file>